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B8B2F">
      <w:pPr>
        <w:pStyle w:val="2"/>
        <w:keepNext w:val="0"/>
        <w:keepLines w:val="0"/>
        <w:pageBreakBefore w:val="0"/>
        <w:widowControl/>
        <w:kinsoku/>
        <w:wordWrap/>
        <w:overflowPunct/>
        <w:topLinePunct w:val="0"/>
        <w:autoSpaceDE/>
        <w:autoSpaceDN/>
        <w:bidi w:val="0"/>
        <w:adjustRightInd/>
        <w:snapToGrid/>
        <w:ind w:firstLine="1041" w:firstLineChars="200"/>
        <w:jc w:val="center"/>
        <w:textAlignment w:val="auto"/>
        <w:rPr>
          <w:color w:val="auto"/>
          <w:sz w:val="52"/>
          <w:szCs w:val="52"/>
        </w:rPr>
      </w:pPr>
      <w:bookmarkStart w:id="0" w:name="_GoBack"/>
      <w:bookmarkEnd w:id="0"/>
      <w:r>
        <w:rPr>
          <w:color w:val="auto"/>
          <w:sz w:val="52"/>
          <w:szCs w:val="52"/>
        </w:rPr>
        <w:t>创业</w:t>
      </w:r>
      <w:r>
        <w:rPr>
          <w:rFonts w:hint="eastAsia"/>
          <w:color w:val="auto"/>
          <w:sz w:val="52"/>
          <w:szCs w:val="52"/>
          <w:lang w:val="en-US" w:eastAsia="zh-CN"/>
        </w:rPr>
        <w:t>指导咨询</w:t>
      </w:r>
      <w:r>
        <w:rPr>
          <w:color w:val="auto"/>
          <w:sz w:val="52"/>
          <w:szCs w:val="52"/>
        </w:rPr>
        <w:t>服务合同</w:t>
      </w:r>
    </w:p>
    <w:p w14:paraId="432C2F10">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甲方（服务提供方）：</w:t>
      </w:r>
    </w:p>
    <w:p w14:paraId="011F0FDC">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单位名称：________________</w:t>
      </w:r>
    </w:p>
    <w:p w14:paraId="15BBF1BE">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统一社会信用代码：________________</w:t>
      </w:r>
    </w:p>
    <w:p w14:paraId="4A7CEB1A">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 / 负责人：________________ </w:t>
      </w:r>
    </w:p>
    <w:p w14:paraId="661E4AAE">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联系电话：________________</w:t>
      </w:r>
    </w:p>
    <w:p w14:paraId="2EF8D519">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注册地址：________________</w:t>
      </w:r>
    </w:p>
    <w:p w14:paraId="60ABCA45">
      <w:pPr>
        <w:pStyle w:val="17"/>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u w:val="single"/>
          <w:lang w:val="en-US" w:eastAsia="zh-CN"/>
        </w:rPr>
      </w:pPr>
    </w:p>
    <w:p w14:paraId="7481A2F8">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乙方（服务接受方）：</w:t>
      </w:r>
    </w:p>
    <w:p w14:paraId="25FBECFD">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单位名称：________________ </w:t>
      </w:r>
    </w:p>
    <w:p w14:paraId="2AAF9B2C">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统一社会信用代码：________________</w:t>
      </w:r>
    </w:p>
    <w:p w14:paraId="1981F240">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 / 负责人：________________ </w:t>
      </w:r>
    </w:p>
    <w:p w14:paraId="308184E3">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联系电话：________________</w:t>
      </w:r>
    </w:p>
    <w:p w14:paraId="2C61AC96">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注册地址：________________</w:t>
      </w:r>
    </w:p>
    <w:p w14:paraId="07CCA06D">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p>
    <w:p w14:paraId="071D9EC0">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本合同所称 “甲方人员”，指甲方对接人、甲方委派的创业导师及甲方为履行本合同所指派的其他相关工作人员。</w:t>
      </w:r>
    </w:p>
    <w:p w14:paraId="1D0641B7">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本合同项下，甲方委派创业导师的沟通账号信息（包括但不限于电子邮件账号、微信账号、企业微信账号等），均以甲方对接人与乙方沟通确认的信息为准（沟通方式包括但不限于微信、企业微信、电子邮件等）</w:t>
      </w:r>
    </w:p>
    <w:p w14:paraId="37BF5836">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default" w:ascii="仿宋" w:hAnsi="仿宋" w:eastAsia="仿宋" w:cs="仿宋"/>
          <w:color w:val="auto"/>
          <w:sz w:val="28"/>
          <w:szCs w:val="28"/>
          <w:lang w:val="en-US" w:eastAsia="zh-CN"/>
        </w:rPr>
        <w:t>甲方</w:t>
      </w:r>
      <w:r>
        <w:rPr>
          <w:rFonts w:hint="eastAsia" w:ascii="仿宋" w:hAnsi="仿宋" w:eastAsia="仿宋" w:cs="仿宋"/>
          <w:color w:val="auto"/>
          <w:sz w:val="28"/>
          <w:szCs w:val="28"/>
          <w:lang w:val="en-US" w:eastAsia="zh-CN"/>
        </w:rPr>
        <w:t>人员</w:t>
      </w:r>
      <w:r>
        <w:rPr>
          <w:rFonts w:hint="default" w:ascii="仿宋" w:hAnsi="仿宋" w:eastAsia="仿宋" w:cs="仿宋"/>
          <w:color w:val="auto"/>
          <w:sz w:val="28"/>
          <w:szCs w:val="28"/>
          <w:lang w:val="en-US" w:eastAsia="zh-CN"/>
        </w:rPr>
        <w:t>与乙方就本合同相关事宜（包括但不限于账号信息确认、导师委派、服务沟通等）的沟通方式，包括但不限于微信、企业微信、电子邮件等，前述沟通所产生的记录（如聊天记录、邮件往来），可作为本合同履行的有效凭证</w:t>
      </w:r>
      <w:r>
        <w:rPr>
          <w:rFonts w:hint="eastAsia" w:ascii="仿宋" w:hAnsi="仿宋" w:eastAsia="仿宋" w:cs="仿宋"/>
          <w:color w:val="auto"/>
          <w:sz w:val="28"/>
          <w:szCs w:val="28"/>
          <w:lang w:val="en-US" w:eastAsia="zh-CN"/>
        </w:rPr>
        <w:t>。</w:t>
      </w:r>
    </w:p>
    <w:p w14:paraId="677E9C23">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第一条 服务内容与范围</w:t>
      </w:r>
    </w:p>
    <w:p w14:paraId="63AFBA74">
      <w:pPr>
        <w:pStyle w:val="17"/>
        <w:keepNext w:val="0"/>
        <w:keepLines w:val="0"/>
        <w:pageBreakBefore w:val="0"/>
        <w:widowControl/>
        <w:numPr>
          <w:ilvl w:val="0"/>
          <w:numId w:val="1"/>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w:t>
      </w:r>
      <w:r>
        <w:rPr>
          <w:rFonts w:hint="eastAsia" w:ascii="仿宋" w:hAnsi="仿宋" w:eastAsia="仿宋" w:cs="仿宋"/>
          <w:color w:val="auto"/>
          <w:sz w:val="28"/>
          <w:szCs w:val="28"/>
          <w:lang w:val="en-US" w:eastAsia="zh-CN"/>
        </w:rPr>
        <w:t>委派创业导师</w:t>
      </w:r>
      <w:r>
        <w:rPr>
          <w:rFonts w:hint="eastAsia" w:ascii="仿宋" w:hAnsi="仿宋" w:eastAsia="仿宋" w:cs="仿宋"/>
          <w:color w:val="auto"/>
          <w:sz w:val="28"/>
          <w:szCs w:val="28"/>
        </w:rPr>
        <w:t>为乙方提供创业相关信息服务，包括但不限于：政策信息、资源对接信息、商业决策参考信息等。甲方委派的任何创业导师提供的前述服务，均视为甲方的履约行为，相关信息传递效力及价值认定均适用本合同约定</w:t>
      </w:r>
      <w:r>
        <w:rPr>
          <w:rFonts w:hint="default" w:ascii="仿宋" w:hAnsi="仿宋" w:eastAsia="仿宋" w:cs="仿宋"/>
          <w:color w:val="auto"/>
          <w:sz w:val="28"/>
          <w:szCs w:val="28"/>
        </w:rPr>
        <w:t>。</w:t>
      </w:r>
    </w:p>
    <w:p w14:paraId="017CCA8A">
      <w:pPr>
        <w:pStyle w:val="17"/>
        <w:keepNext w:val="0"/>
        <w:keepLines w:val="0"/>
        <w:pageBreakBefore w:val="0"/>
        <w:widowControl/>
        <w:numPr>
          <w:ilvl w:val="0"/>
          <w:numId w:val="1"/>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甲方仅提供信息及必要的解读、申报指导，不参与乙方具体经营管理，不承担乙方因经营决策产生的亏损风险。</w:t>
      </w:r>
    </w:p>
    <w:p w14:paraId="525032F2">
      <w:pPr>
        <w:pStyle w:val="17"/>
        <w:keepNext w:val="0"/>
        <w:keepLines w:val="0"/>
        <w:pageBreakBefore w:val="0"/>
        <w:widowControl/>
        <w:numPr>
          <w:ilvl w:val="0"/>
          <w:numId w:val="1"/>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w:t>
      </w:r>
      <w:r>
        <w:rPr>
          <w:rFonts w:hint="eastAsia" w:ascii="仿宋" w:hAnsi="仿宋" w:eastAsia="仿宋" w:cs="仿宋"/>
          <w:color w:val="auto"/>
          <w:sz w:val="28"/>
          <w:szCs w:val="28"/>
          <w:lang w:val="en-US" w:eastAsia="zh-CN"/>
        </w:rPr>
        <w:t>人员</w:t>
      </w:r>
      <w:r>
        <w:rPr>
          <w:rFonts w:hint="eastAsia" w:ascii="仿宋" w:hAnsi="仿宋" w:eastAsia="仿宋" w:cs="仿宋"/>
          <w:color w:val="auto"/>
          <w:sz w:val="28"/>
          <w:szCs w:val="28"/>
        </w:rPr>
        <w:t>向乙方提供服务时，将</w:t>
      </w:r>
      <w:r>
        <w:rPr>
          <w:rFonts w:hint="eastAsia" w:ascii="仿宋" w:hAnsi="仿宋" w:eastAsia="仿宋" w:cs="仿宋"/>
          <w:color w:val="auto"/>
          <w:sz w:val="28"/>
          <w:szCs w:val="28"/>
          <w:lang w:val="en-US" w:eastAsia="zh-CN"/>
        </w:rPr>
        <w:t>创业相关信息</w:t>
      </w:r>
      <w:r>
        <w:rPr>
          <w:rFonts w:hint="default" w:ascii="仿宋" w:hAnsi="仿宋" w:eastAsia="仿宋" w:cs="仿宋"/>
          <w:color w:val="auto"/>
          <w:sz w:val="28"/>
          <w:szCs w:val="28"/>
        </w:rPr>
        <w:t>，通过本合同约定的有效方式发送给乙方，即视为完成该信息的服务任务。</w:t>
      </w:r>
    </w:p>
    <w:p w14:paraId="18EB9F89">
      <w:pPr>
        <w:pStyle w:val="17"/>
        <w:keepNext w:val="0"/>
        <w:keepLines w:val="0"/>
        <w:pageBreakBefore w:val="0"/>
        <w:widowControl/>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第一条之一 导师委派机制</w:t>
      </w:r>
    </w:p>
    <w:p w14:paraId="4EEE7DCF">
      <w:pPr>
        <w:pStyle w:val="17"/>
        <w:keepNext w:val="0"/>
        <w:keepLines w:val="0"/>
        <w:pageBreakBefore w:val="0"/>
        <w:widowControl/>
        <w:numPr>
          <w:ilvl w:val="0"/>
          <w:numId w:val="2"/>
        </w:numPr>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固定对接与分配权：甲方指定</w:t>
      </w:r>
      <w:r>
        <w:rPr>
          <w:rFonts w:hint="eastAsia" w:ascii="仿宋" w:hAnsi="仿宋" w:eastAsia="仿宋" w:cs="仿宋"/>
          <w:color w:val="auto"/>
          <w:sz w:val="28"/>
          <w:szCs w:val="28"/>
          <w:u w:val="single"/>
        </w:rPr>
        <w:t>张海波</w:t>
      </w:r>
      <w:r>
        <w:rPr>
          <w:rFonts w:hint="eastAsia" w:ascii="仿宋" w:hAnsi="仿宋" w:eastAsia="仿宋" w:cs="仿宋"/>
          <w:color w:val="auto"/>
          <w:sz w:val="28"/>
          <w:szCs w:val="28"/>
        </w:rPr>
        <w:t>作为唯一的创业导师分配及服务对接人</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以下简称“对接人”</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，乙方所有导师委派通过</w:t>
      </w:r>
      <w:r>
        <w:rPr>
          <w:rFonts w:hint="eastAsia" w:ascii="仿宋" w:hAnsi="仿宋" w:eastAsia="仿宋" w:cs="仿宋"/>
          <w:color w:val="auto"/>
          <w:sz w:val="28"/>
          <w:szCs w:val="28"/>
          <w:lang w:val="en-US" w:eastAsia="zh-CN"/>
        </w:rPr>
        <w:t>对接人</w:t>
      </w:r>
      <w:r>
        <w:rPr>
          <w:rFonts w:hint="eastAsia" w:ascii="仿宋" w:hAnsi="仿宋" w:eastAsia="仿宋" w:cs="仿宋"/>
          <w:color w:val="auto"/>
          <w:sz w:val="28"/>
          <w:szCs w:val="28"/>
        </w:rPr>
        <w:t>办理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分配的导师以对接人已乙方的微信聊天记录或邮箱往来为准</w:t>
      </w:r>
      <w:r>
        <w:rPr>
          <w:rFonts w:hint="eastAsia" w:ascii="仿宋" w:hAnsi="仿宋" w:eastAsia="仿宋" w:cs="仿宋"/>
          <w:color w:val="auto"/>
          <w:sz w:val="28"/>
          <w:szCs w:val="28"/>
        </w:rPr>
        <w:t>。</w:t>
      </w:r>
    </w:p>
    <w:p w14:paraId="2A1DFF89">
      <w:pPr>
        <w:pStyle w:val="17"/>
        <w:keepNext w:val="0"/>
        <w:keepLines w:val="0"/>
        <w:pageBreakBefore w:val="0"/>
        <w:widowControl/>
        <w:numPr>
          <w:ilvl w:val="0"/>
          <w:numId w:val="2"/>
        </w:numPr>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动态委派规则：甲方有权根据乙方行业属性、服务需求、导师专业领域（如科技型企业辅导、文创产业政策解读等）及工作安排，动态调整为乙方服务的创业导师，无需经乙方额外同意。</w:t>
      </w:r>
    </w:p>
    <w:p w14:paraId="2D0DC1F9">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第二条 价值认定标准</w:t>
      </w:r>
    </w:p>
    <w:p w14:paraId="1C2C2AB4">
      <w:pPr>
        <w:pStyle w:val="17"/>
        <w:keepNext w:val="0"/>
        <w:keepLines w:val="0"/>
        <w:pageBreakBefore w:val="0"/>
        <w:widowControl/>
        <w:numPr>
          <w:ilvl w:val="0"/>
          <w:numId w:val="3"/>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本合同所称 “创造价值”，指乙方因使用</w:t>
      </w:r>
      <w:r>
        <w:rPr>
          <w:rFonts w:hint="eastAsia" w:ascii="仿宋" w:hAnsi="仿宋" w:eastAsia="仿宋" w:cs="仿宋"/>
          <w:color w:val="auto"/>
          <w:sz w:val="28"/>
          <w:szCs w:val="28"/>
          <w:lang w:val="en-US" w:eastAsia="zh-CN"/>
        </w:rPr>
        <w:t>甲方人员</w:t>
      </w:r>
      <w:r>
        <w:rPr>
          <w:rFonts w:hint="eastAsia" w:ascii="仿宋" w:hAnsi="仿宋" w:eastAsia="仿宋" w:cs="仿宋"/>
          <w:color w:val="auto"/>
          <w:sz w:val="28"/>
          <w:szCs w:val="28"/>
        </w:rPr>
        <w:t>提供的信息，实际取得的可量化收益，具体包括：</w:t>
      </w:r>
    </w:p>
    <w:p w14:paraId="4A1FA812">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（1）政策优惠类：以税务机关、政府部门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孵化器等有关部门</w:t>
      </w:r>
      <w:r>
        <w:rPr>
          <w:rFonts w:hint="eastAsia" w:ascii="仿宋" w:hAnsi="仿宋" w:eastAsia="仿宋" w:cs="仿宋"/>
          <w:color w:val="auto"/>
          <w:sz w:val="28"/>
          <w:szCs w:val="28"/>
        </w:rPr>
        <w:t>出具的正式减免/补贴凭证载明的金额为准；</w:t>
      </w:r>
    </w:p>
    <w:p w14:paraId="36C2B282">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（2）资源对接类：以乙方与对接方签订的合作协议及实际到账/结算金额为准；</w:t>
      </w:r>
    </w:p>
    <w:p w14:paraId="079D7DCE">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（3）其他类：以乙方提供的财务凭证、银行流水等有效文件证明的直接收益为准。</w:t>
      </w:r>
    </w:p>
    <w:p w14:paraId="358B6E9E">
      <w:pPr>
        <w:pStyle w:val="17"/>
        <w:keepNext w:val="0"/>
        <w:keepLines w:val="0"/>
        <w:pageBreakBefore w:val="0"/>
        <w:widowControl/>
        <w:numPr>
          <w:ilvl w:val="0"/>
          <w:numId w:val="3"/>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价值排除情形：乙方因自身原有市场自然增长取得的收益，不计入甲方创造的价值。</w:t>
      </w:r>
    </w:p>
    <w:p w14:paraId="2A554E4E">
      <w:pPr>
        <w:pStyle w:val="17"/>
        <w:keepNext w:val="0"/>
        <w:keepLines w:val="0"/>
        <w:pageBreakBefore w:val="0"/>
        <w:widowControl/>
        <w:numPr>
          <w:ilvl w:val="0"/>
          <w:numId w:val="3"/>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乙方对收益真实性、关联性承担举证责任，需在收益到账后 3 个工作日内，向甲方提交全套原始凭证及复印件（加盖乙方公章）。甲方有权对凭证真实性进行核查，乙方需配合提供补充材料。</w:t>
      </w:r>
    </w:p>
    <w:p w14:paraId="53CD7464">
      <w:pPr>
        <w:pStyle w:val="17"/>
        <w:keepNext w:val="0"/>
        <w:keepLines w:val="0"/>
        <w:pageBreakBefore w:val="0"/>
        <w:widowControl/>
        <w:numPr>
          <w:ilvl w:val="0"/>
          <w:numId w:val="3"/>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w:t>
      </w:r>
      <w:r>
        <w:rPr>
          <w:rFonts w:hint="eastAsia" w:ascii="仿宋" w:hAnsi="仿宋" w:eastAsia="仿宋" w:cs="仿宋"/>
          <w:color w:val="auto"/>
          <w:sz w:val="28"/>
          <w:szCs w:val="28"/>
          <w:lang w:val="en-US" w:eastAsia="zh-CN"/>
        </w:rPr>
        <w:t>人员</w:t>
      </w:r>
      <w:r>
        <w:rPr>
          <w:rFonts w:hint="eastAsia" w:ascii="仿宋" w:hAnsi="仿宋" w:eastAsia="仿宋" w:cs="仿宋"/>
          <w:color w:val="auto"/>
          <w:sz w:val="28"/>
          <w:szCs w:val="28"/>
        </w:rPr>
        <w:t>通过以下方式向乙方传递信息或文件的，视为乙方已知晓全部内容：</w:t>
      </w:r>
    </w:p>
    <w:p w14:paraId="6190E63F">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1）书面文件：甲方</w:t>
      </w:r>
      <w:r>
        <w:rPr>
          <w:rFonts w:hint="eastAsia" w:ascii="仿宋" w:hAnsi="仿宋" w:eastAsia="仿宋" w:cs="仿宋"/>
          <w:color w:val="auto"/>
          <w:sz w:val="28"/>
          <w:szCs w:val="28"/>
          <w:lang w:val="en-US" w:eastAsia="zh-CN"/>
        </w:rPr>
        <w:t>人员</w:t>
      </w:r>
      <w:r>
        <w:rPr>
          <w:rFonts w:hint="eastAsia" w:ascii="仿宋" w:hAnsi="仿宋" w:eastAsia="仿宋" w:cs="仿宋"/>
          <w:color w:val="auto"/>
          <w:sz w:val="28"/>
          <w:szCs w:val="28"/>
        </w:rPr>
        <w:t>以专人递送、快递邮寄（含顺丰、EMS 等可追踪物流方式）至乙方注册地址或约定通讯地址，签收记录（含代收）即为知晓凭证；</w:t>
      </w:r>
    </w:p>
    <w:p w14:paraId="1CA3597E">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2）电子邮件：</w:t>
      </w:r>
      <w:r>
        <w:rPr>
          <w:rFonts w:hint="eastAsia" w:ascii="仿宋" w:hAnsi="仿宋" w:eastAsia="仿宋" w:cs="仿宋"/>
          <w:color w:val="auto"/>
          <w:sz w:val="28"/>
          <w:szCs w:val="28"/>
          <w:lang w:val="en-US" w:eastAsia="zh-CN"/>
        </w:rPr>
        <w:t>甲方人员</w:t>
      </w:r>
      <w:r>
        <w:rPr>
          <w:rFonts w:hint="eastAsia" w:ascii="仿宋" w:hAnsi="仿宋" w:eastAsia="仿宋" w:cs="仿宋"/>
          <w:color w:val="auto"/>
          <w:sz w:val="28"/>
          <w:szCs w:val="28"/>
        </w:rPr>
        <w:t>发送至乙方在本合同中预留的邮箱地址，系统显示 “已送达”“已读” 或乙方未在 24 小时内提出未收到异议的，视为知晓；</w:t>
      </w:r>
    </w:p>
    <w:p w14:paraId="37097113">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3）即时通讯工具：</w:t>
      </w:r>
      <w:r>
        <w:rPr>
          <w:rFonts w:hint="eastAsia" w:ascii="仿宋" w:hAnsi="仿宋" w:eastAsia="仿宋" w:cs="仿宋"/>
          <w:color w:val="auto"/>
          <w:sz w:val="28"/>
          <w:szCs w:val="28"/>
          <w:lang w:val="en-US" w:eastAsia="zh-CN"/>
        </w:rPr>
        <w:t>甲方人员</w:t>
      </w:r>
      <w:r>
        <w:rPr>
          <w:rFonts w:hint="eastAsia" w:ascii="仿宋" w:hAnsi="仿宋" w:eastAsia="仿宋" w:cs="仿宋"/>
          <w:color w:val="auto"/>
          <w:sz w:val="28"/>
          <w:szCs w:val="28"/>
        </w:rPr>
        <w:t>通过微信、企业微信等双方确认的账号发送的，视为知晓</w:t>
      </w:r>
      <w:r>
        <w:rPr>
          <w:rFonts w:hint="eastAsia" w:ascii="仿宋" w:hAnsi="仿宋" w:eastAsia="仿宋" w:cs="仿宋"/>
          <w:color w:val="auto"/>
          <w:sz w:val="28"/>
          <w:szCs w:val="28"/>
          <w:lang w:eastAsia="zh-CN"/>
        </w:rPr>
        <w:t>；</w:t>
      </w:r>
    </w:p>
    <w:p w14:paraId="043A3DBD">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4）其他电子形式：包括但不限于短信、在线文档共享链接等，乙方手机号、账号，视为知晓。</w:t>
      </w:r>
    </w:p>
    <w:p w14:paraId="451BE736">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4.5</w:t>
      </w:r>
      <w:r>
        <w:rPr>
          <w:rFonts w:hint="eastAsia" w:ascii="仿宋" w:hAnsi="仿宋" w:eastAsia="仿宋" w:cs="仿宋"/>
          <w:color w:val="auto"/>
          <w:sz w:val="28"/>
          <w:szCs w:val="28"/>
        </w:rPr>
        <w:t>）乙方对信息接收状态有异议的，需在信息发送后 24 小时内以书面形式向甲方提出，逾期未提出的，视为对接收事实及内容无异议。</w:t>
      </w:r>
    </w:p>
    <w:p w14:paraId="1DF4A611">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甲方指定对接人信息如下</w:t>
      </w:r>
    </w:p>
    <w:p w14:paraId="5416BE4C">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姓名：张海波</w:t>
      </w:r>
    </w:p>
    <w:p w14:paraId="45B599F2">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电话：18104654213</w:t>
      </w:r>
    </w:p>
    <w:p w14:paraId="1DC36E3B">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微信号：wszhb198</w:t>
      </w:r>
    </w:p>
    <w:p w14:paraId="2945D180">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邮箱号：</w:t>
      </w:r>
      <w:r>
        <w:rPr>
          <w:rFonts w:hint="eastAsia" w:ascii="仿宋" w:hAnsi="仿宋" w:eastAsia="仿宋" w:cs="仿宋"/>
          <w:color w:val="auto"/>
          <w:sz w:val="28"/>
          <w:szCs w:val="28"/>
          <w:lang w:val="en-US" w:eastAsia="zh-CN"/>
        </w:rPr>
        <w:fldChar w:fldCharType="begin"/>
      </w:r>
      <w:r>
        <w:rPr>
          <w:rFonts w:hint="eastAsia" w:ascii="仿宋" w:hAnsi="仿宋" w:eastAsia="仿宋" w:cs="仿宋"/>
          <w:color w:val="auto"/>
          <w:sz w:val="28"/>
          <w:szCs w:val="28"/>
          <w:lang w:val="en-US" w:eastAsia="zh-CN"/>
        </w:rPr>
        <w:instrText xml:space="preserve"> HYPERLINK "mailto:qf6@163.com" </w:instrText>
      </w:r>
      <w:r>
        <w:rPr>
          <w:rFonts w:hint="eastAsia" w:ascii="仿宋" w:hAnsi="仿宋" w:eastAsia="仿宋" w:cs="仿宋"/>
          <w:color w:val="auto"/>
          <w:sz w:val="28"/>
          <w:szCs w:val="28"/>
          <w:lang w:val="en-US" w:eastAsia="zh-CN"/>
        </w:rPr>
        <w:fldChar w:fldCharType="separate"/>
      </w:r>
      <w:r>
        <w:rPr>
          <w:rStyle w:val="13"/>
          <w:rFonts w:hint="eastAsia" w:ascii="仿宋" w:hAnsi="仿宋" w:eastAsia="仿宋" w:cs="仿宋"/>
          <w:sz w:val="28"/>
          <w:szCs w:val="28"/>
          <w:lang w:val="en-US" w:eastAsia="zh-CN"/>
        </w:rPr>
        <w:t>qf6@163.com</w:t>
      </w:r>
      <w:r>
        <w:rPr>
          <w:rFonts w:hint="eastAsia" w:ascii="仿宋" w:hAnsi="仿宋" w:eastAsia="仿宋" w:cs="仿宋"/>
          <w:color w:val="auto"/>
          <w:sz w:val="28"/>
          <w:szCs w:val="28"/>
          <w:lang w:val="en-US" w:eastAsia="zh-CN"/>
        </w:rPr>
        <w:fldChar w:fldCharType="end"/>
      </w:r>
    </w:p>
    <w:p w14:paraId="5BC7914B">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（4.7）乙方指定联系人信息如下</w:t>
      </w:r>
    </w:p>
    <w:p w14:paraId="22621DF2">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姓名：</w:t>
      </w:r>
    </w:p>
    <w:p w14:paraId="203CB710">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电话：</w:t>
      </w:r>
    </w:p>
    <w:p w14:paraId="7F1E205A">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微信号：</w:t>
      </w:r>
    </w:p>
    <w:p w14:paraId="7F58B8FC">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邮箱号：</w:t>
      </w:r>
    </w:p>
    <w:p w14:paraId="5B471685">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甲方人员传递的信息（包括但不限于政策优惠、资源信息、商业机会等）无论乙方通过何种途径（包括但不限于自行申请、委托第三方办理等）实际应用并产生收益的，只要该信息内容与甲方传递的信息具有一致性（核心要素重合度≥60%），即视为甲方创造的价值，乙方应按本合同约定支付分成。</w:t>
      </w:r>
    </w:p>
    <w:p w14:paraId="40A7F5A5">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乙方主张信息来源于第三方或自身渠道的，需承担完全举证责任，具体包括：</w:t>
      </w:r>
    </w:p>
    <w:p w14:paraId="65F1E7C0">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（5.1）提供第三方或自身获取信息的原始记录（时间、内容、来源主体）；</w:t>
      </w:r>
    </w:p>
    <w:p w14:paraId="6B46EFCA">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（5.2）证明该信息的获取时间早于甲方人员传递信息的时间；</w:t>
      </w:r>
    </w:p>
    <w:p w14:paraId="31C35FB8">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（5.3）证明其实际应用的信息与甲方人员传递的信息无关联性。</w:t>
      </w:r>
    </w:p>
    <w:p w14:paraId="5BE84F5E">
      <w:pPr>
        <w:pStyle w:val="17"/>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6.乙方无法完成上述举证的，推定信息来源于甲方人员，应计入分成范围。</w:t>
      </w:r>
    </w:p>
    <w:p w14:paraId="659AFEEE">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政策类信息中，若甲方人员传递的政策文件、申报指引等与乙方实际享受的政策属于同一事项（包括但不限于政策名称、优惠内容、适用条件一致），无论乙方申报流程是否由甲方人员协助完成、是否自行申报或委托第三方申报，均不影响甲方对该价值的主张，乙方需按本合同约定的比例支付分成。</w:t>
      </w:r>
    </w:p>
    <w:p w14:paraId="08EF41EA">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7.排他合作义务及责任：合同期限内，乙方如需获取本合同第一条约定的 “创业相关信息服务”（包括但不限于政策优惠信息、资源对接信息、商业决策参考信息），应仅通过甲方获取，不得与任何第三方（包括但不限于其他个人创业导师、咨询机构、行业协会、同类服务平台等）建立同类服务合作关系，亦不得自行委托第三方代为获取前述同类信息；但以下情形不受本条排他义务限制，且乙方需在发生前 3 个工作日书面通知甲方并说明理由：</w:t>
      </w:r>
    </w:p>
    <w:p w14:paraId="07F5344E">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（1）政府部门、园区管委会等公共机构免费提供的普惠性政策宣讲、公开信息推送（非定制化服务）；</w:t>
      </w:r>
    </w:p>
    <w:p w14:paraId="49E59178">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（2）乙方因融资、上市等特殊经营需求，由中介机构（如券商、律所、会计师事务所）在服务范围内附带提供的非针对性信息；</w:t>
      </w:r>
    </w:p>
    <w:p w14:paraId="2DD1A35A">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（3）甲方明确书面同意乙方接触的第三方服务（需留存书面确认文件，作为本合同附件）。</w:t>
      </w:r>
    </w:p>
    <w:p w14:paraId="2032369B">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7.1若乙方违反本条排他义务，需承担以下责任：</w:t>
      </w:r>
    </w:p>
    <w:p w14:paraId="51E08E5E">
      <w:pPr>
        <w:pStyle w:val="17"/>
        <w:keepNext w:val="0"/>
        <w:keepLines w:val="0"/>
        <w:pageBreakBefore w:val="0"/>
        <w:widowControl/>
        <w:numPr>
          <w:ilvl w:val="0"/>
          <w:numId w:val="4"/>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甲方有权立即终止本合同，且无需退还已收取的服务分成；</w:t>
      </w:r>
    </w:p>
    <w:p w14:paraId="0C7E7515">
      <w:pPr>
        <w:pStyle w:val="17"/>
        <w:keepNext w:val="0"/>
        <w:keepLines w:val="0"/>
        <w:pageBreakBefore w:val="0"/>
        <w:widowControl/>
        <w:numPr>
          <w:ilvl w:val="0"/>
          <w:numId w:val="4"/>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乙方需向甲方支付合同期内甲方已创造价值总额的 25% 作为违约金，</w:t>
      </w:r>
      <w:r>
        <w:rPr>
          <w:rFonts w:hint="eastAsia" w:ascii="仿宋" w:hAnsi="仿宋" w:eastAsia="仿宋" w:cs="仿宋"/>
          <w:color w:val="FF0000"/>
          <w:sz w:val="28"/>
          <w:szCs w:val="28"/>
          <w:lang w:val="en-US" w:eastAsia="zh-CN"/>
        </w:rPr>
        <w:t>如涉及长期收益，价值总额计算须涵盖所有可预见的收益，</w:t>
      </w:r>
      <w:r>
        <w:rPr>
          <w:rFonts w:hint="eastAsia" w:ascii="仿宋" w:hAnsi="仿宋" w:eastAsia="仿宋" w:cs="仿宋"/>
          <w:color w:val="auto"/>
          <w:sz w:val="28"/>
          <w:szCs w:val="28"/>
          <w:lang w:val="en-US" w:eastAsia="zh-CN"/>
        </w:rPr>
        <w:t>（若合同期不足 6 个月或未产生实际价值，按乙方注册资本的 5% 计算，最低不低于 5 万元）；</w:t>
      </w:r>
    </w:p>
    <w:p w14:paraId="52B8D60A">
      <w:pPr>
        <w:pStyle w:val="17"/>
        <w:keepNext w:val="0"/>
        <w:keepLines w:val="0"/>
        <w:pageBreakBefore w:val="0"/>
        <w:widowControl/>
        <w:numPr>
          <w:ilvl w:val="0"/>
          <w:numId w:val="4"/>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若乙方因第三方服务获取的信息与甲方人员提供的信息存在重合（核心要素重合度≥60%），且该信息已为乙方带来收益，乙方需按本合同第三条约定的分成比例，向甲方补足该部分收益的分成（无论该收益是否已向第三方支付费用）；</w:t>
      </w:r>
    </w:p>
    <w:p w14:paraId="7B7BFADE">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（4）甲方为追究乙方违约责任产生的律师费、诉讼费、保全费、调查取证费等合理费用，均由乙方承担；同时，若乙方违反本条排他义务导致合同终止，乙方在合同终止后 6 个月内，不得与本合同期限内曾接触的第三方（违反排他义务所涉及的）建立同类服务合作，若违反本约定，需按本条约定的违约金标准向甲方额外支付 1 次违约金，且在此情形下，甲方无需举证 “信息来源归属”，直接推定乙方通过第三方获取的同类信息（与本合同服务内容重合）均来源于甲方人员传递的信息核心范畴，该部分信息产生的收益全部计入甲方创造价值，乙方需按约定支付分成。</w:t>
      </w:r>
    </w:p>
    <w:p w14:paraId="51147B67">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第三条 分成比例与支付方式</w:t>
      </w:r>
    </w:p>
    <w:p w14:paraId="2BA3F05A">
      <w:pPr>
        <w:pStyle w:val="17"/>
        <w:keepNext w:val="0"/>
        <w:keepLines w:val="0"/>
        <w:pageBreakBefore w:val="0"/>
        <w:widowControl/>
        <w:numPr>
          <w:ilvl w:val="0"/>
          <w:numId w:val="5"/>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分成比例：甲方按其创造价值的 50% 获取服务报酬</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如涉及长期收益，价值总额计算须涵盖所有可预见的收益</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“创造价值” </w:t>
      </w:r>
      <w:r>
        <w:rPr>
          <w:rFonts w:hint="eastAsia" w:ascii="仿宋" w:hAnsi="仿宋" w:eastAsia="仿宋" w:cs="仿宋"/>
          <w:color w:val="auto"/>
          <w:sz w:val="28"/>
          <w:szCs w:val="28"/>
          <w:lang w:val="en-US" w:eastAsia="zh-CN"/>
        </w:rPr>
        <w:t>指甲方人员</w:t>
      </w:r>
      <w:r>
        <w:rPr>
          <w:rFonts w:hint="eastAsia" w:ascii="仿宋" w:hAnsi="仿宋" w:eastAsia="仿宋" w:cs="仿宋"/>
          <w:color w:val="auto"/>
          <w:sz w:val="28"/>
          <w:szCs w:val="28"/>
        </w:rPr>
        <w:t>提供信息所产生的价值</w:t>
      </w:r>
      <w:r>
        <w:rPr>
          <w:rFonts w:hint="eastAsia" w:ascii="仿宋" w:hAnsi="仿宋" w:eastAsia="仿宋" w:cs="仿宋"/>
          <w:color w:val="auto"/>
          <w:sz w:val="28"/>
          <w:szCs w:val="28"/>
          <w:lang w:eastAsia="zh-CN"/>
        </w:rPr>
        <w:t>）</w:t>
      </w:r>
    </w:p>
    <w:p w14:paraId="4415D8D3">
      <w:pPr>
        <w:pStyle w:val="17"/>
        <w:keepNext w:val="0"/>
        <w:keepLines w:val="0"/>
        <w:pageBreakBefore w:val="0"/>
        <w:widowControl/>
        <w:numPr>
          <w:ilvl w:val="0"/>
          <w:numId w:val="5"/>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支付触发：乙方实际取得收益后 5 个工作日内，向甲方支付对应分成款项。</w:t>
      </w:r>
    </w:p>
    <w:p w14:paraId="74BE0199">
      <w:pPr>
        <w:pStyle w:val="17"/>
        <w:keepNext w:val="0"/>
        <w:keepLines w:val="0"/>
        <w:pageBreakBefore w:val="0"/>
        <w:widowControl/>
        <w:numPr>
          <w:ilvl w:val="0"/>
          <w:numId w:val="5"/>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支付方式：甲方指定收款账户</w:t>
      </w:r>
      <w:r>
        <w:rPr>
          <w:rFonts w:hint="eastAsia" w:ascii="仿宋" w:hAnsi="仿宋" w:eastAsia="仿宋" w:cs="仿宋"/>
          <w:color w:val="auto"/>
          <w:sz w:val="28"/>
          <w:szCs w:val="28"/>
          <w:lang w:eastAsia="zh-CN"/>
        </w:rPr>
        <w:t>：</w:t>
      </w:r>
    </w:p>
    <w:p w14:paraId="7057010F">
      <w:pPr>
        <w:pStyle w:val="17"/>
        <w:keepNext w:val="0"/>
        <w:keepLines w:val="0"/>
        <w:pageBreakBefore w:val="0"/>
        <w:widowControl/>
        <w:numPr>
          <w:ilvl w:val="0"/>
          <w:numId w:val="0"/>
        </w:numPr>
        <w:kinsoku/>
        <w:wordWrap/>
        <w:overflowPunct/>
        <w:topLinePunct w:val="0"/>
        <w:autoSpaceDE/>
        <w:autoSpaceDN/>
        <w:bidi w:val="0"/>
        <w:adjustRightInd/>
        <w:snapToGrid/>
        <w:ind w:leftChars="200" w:firstLine="280" w:firstLine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户名：________________ </w:t>
      </w:r>
    </w:p>
    <w:p w14:paraId="0C9AB985">
      <w:pPr>
        <w:pStyle w:val="17"/>
        <w:keepNext w:val="0"/>
        <w:keepLines w:val="0"/>
        <w:pageBreakBefore w:val="0"/>
        <w:widowControl/>
        <w:numPr>
          <w:ilvl w:val="0"/>
          <w:numId w:val="0"/>
        </w:numPr>
        <w:kinsoku/>
        <w:wordWrap/>
        <w:overflowPunct/>
        <w:topLinePunct w:val="0"/>
        <w:autoSpaceDE/>
        <w:autoSpaceDN/>
        <w:bidi w:val="0"/>
        <w:adjustRightInd/>
        <w:snapToGrid/>
        <w:ind w:leftChars="200" w:firstLine="280" w:firstLine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开户行：________________ </w:t>
      </w:r>
    </w:p>
    <w:p w14:paraId="253E02DD">
      <w:pPr>
        <w:pStyle w:val="17"/>
        <w:keepNext w:val="0"/>
        <w:keepLines w:val="0"/>
        <w:pageBreakBefore w:val="0"/>
        <w:widowControl/>
        <w:numPr>
          <w:ilvl w:val="0"/>
          <w:numId w:val="0"/>
        </w:numPr>
        <w:kinsoku/>
        <w:wordWrap/>
        <w:overflowPunct/>
        <w:topLinePunct w:val="0"/>
        <w:autoSpaceDE/>
        <w:autoSpaceDN/>
        <w:bidi w:val="0"/>
        <w:adjustRightInd/>
        <w:snapToGrid/>
        <w:ind w:leftChars="200" w:firstLine="280" w:firstLine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账号：________________</w:t>
      </w:r>
    </w:p>
    <w:p w14:paraId="2E80C46F">
      <w:pPr>
        <w:pStyle w:val="17"/>
        <w:keepNext w:val="0"/>
        <w:keepLines w:val="0"/>
        <w:pageBreakBefore w:val="0"/>
        <w:widowControl/>
        <w:numPr>
          <w:ilvl w:val="0"/>
          <w:numId w:val="0"/>
        </w:numPr>
        <w:kinsoku/>
        <w:wordWrap/>
        <w:overflowPunct/>
        <w:topLinePunct w:val="0"/>
        <w:autoSpaceDE/>
        <w:autoSpaceDN/>
        <w:bidi w:val="0"/>
        <w:adjustRightInd/>
        <w:snapToGrid/>
        <w:ind w:leftChars="200" w:firstLine="280" w:firstLine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乙方以银行转账方式支付，转账备注 “XX 项目导师分成”。</w:t>
      </w:r>
    </w:p>
    <w:p w14:paraId="7ED2BE12">
      <w:pPr>
        <w:pStyle w:val="17"/>
        <w:keepNext w:val="0"/>
        <w:keepLines w:val="0"/>
        <w:pageBreakBefore w:val="0"/>
        <w:widowControl/>
        <w:numPr>
          <w:ilvl w:val="0"/>
          <w:numId w:val="5"/>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无价值免责：若甲方提供的信息未被乙方采纳，或采纳后未产生可量化收益，乙方无需支付任何服务费用。</w:t>
      </w:r>
    </w:p>
    <w:p w14:paraId="76FB7710">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第四条 双方权利与义务</w:t>
      </w:r>
    </w:p>
    <w:p w14:paraId="1B02D244">
      <w:pPr>
        <w:pStyle w:val="4"/>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（一）甲方权利义务</w:t>
      </w:r>
    </w:p>
    <w:p w14:paraId="06530FA7">
      <w:pPr>
        <w:pStyle w:val="17"/>
        <w:keepNext w:val="0"/>
        <w:keepLines w:val="0"/>
        <w:pageBreakBefore w:val="0"/>
        <w:widowControl/>
        <w:numPr>
          <w:ilvl w:val="0"/>
          <w:numId w:val="6"/>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有权要求乙方及时提供收益相关凭证，对价值认定提出异议时，可申请第三方评估。</w:t>
      </w:r>
    </w:p>
    <w:p w14:paraId="7B567716">
      <w:pPr>
        <w:pStyle w:val="17"/>
        <w:keepNext w:val="0"/>
        <w:keepLines w:val="0"/>
        <w:pageBreakBefore w:val="0"/>
        <w:widowControl/>
        <w:numPr>
          <w:ilvl w:val="0"/>
          <w:numId w:val="6"/>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对乙方的商业秘密承担保密义务（保密期限为合同终止后 3 年），但法律法规要求披露或乙方公开的信息除外。</w:t>
      </w:r>
    </w:p>
    <w:p w14:paraId="678C62E0">
      <w:pPr>
        <w:pStyle w:val="17"/>
        <w:keepNext w:val="0"/>
        <w:keepLines w:val="0"/>
        <w:pageBreakBefore w:val="0"/>
        <w:widowControl/>
        <w:numPr>
          <w:ilvl w:val="0"/>
          <w:numId w:val="6"/>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保证提供的信息真实、准确，但不对信息因政策调整、第三方变动等不可控因素导致的失效承担</w:t>
      </w:r>
      <w:r>
        <w:rPr>
          <w:rFonts w:hint="eastAsia" w:ascii="仿宋" w:hAnsi="仿宋" w:eastAsia="仿宋" w:cs="仿宋"/>
          <w:color w:val="auto"/>
          <w:sz w:val="28"/>
          <w:szCs w:val="28"/>
          <w:lang w:val="en-US" w:eastAsia="zh-CN"/>
        </w:rPr>
        <w:t>任何</w:t>
      </w:r>
      <w:r>
        <w:rPr>
          <w:rFonts w:hint="eastAsia" w:ascii="仿宋" w:hAnsi="仿宋" w:eastAsia="仿宋" w:cs="仿宋"/>
          <w:color w:val="auto"/>
          <w:sz w:val="28"/>
          <w:szCs w:val="28"/>
        </w:rPr>
        <w:t>责任。</w:t>
      </w:r>
    </w:p>
    <w:p w14:paraId="1111DC42">
      <w:pPr>
        <w:pStyle w:val="17"/>
        <w:keepNext w:val="0"/>
        <w:keepLines w:val="0"/>
        <w:pageBreakBefore w:val="0"/>
        <w:widowControl/>
        <w:numPr>
          <w:ilvl w:val="0"/>
          <w:numId w:val="6"/>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负责对委派的创业导师进行管理，包括但不限于：明确导师的服务范围、告知本合同核心条款（价值认定、保密义务等）、监督导师服务质量</w:t>
      </w:r>
      <w:r>
        <w:rPr>
          <w:rFonts w:hint="eastAsia" w:ascii="仿宋" w:hAnsi="仿宋" w:eastAsia="仿宋" w:cs="仿宋"/>
          <w:color w:val="auto"/>
          <w:sz w:val="28"/>
          <w:szCs w:val="28"/>
          <w:lang w:eastAsia="zh-CN"/>
        </w:rPr>
        <w:t>。</w:t>
      </w:r>
    </w:p>
    <w:p w14:paraId="72DB5437">
      <w:pPr>
        <w:pStyle w:val="17"/>
        <w:keepNext w:val="0"/>
        <w:keepLines w:val="0"/>
        <w:pageBreakBefore w:val="0"/>
        <w:widowControl/>
        <w:numPr>
          <w:ilvl w:val="0"/>
          <w:numId w:val="6"/>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甲方人员</w:t>
      </w:r>
      <w:r>
        <w:rPr>
          <w:rFonts w:hint="eastAsia" w:ascii="仿宋" w:hAnsi="仿宋" w:eastAsia="仿宋" w:cs="仿宋"/>
          <w:color w:val="auto"/>
          <w:sz w:val="28"/>
          <w:szCs w:val="28"/>
          <w:lang w:val="en-US" w:eastAsia="zh-CN"/>
        </w:rPr>
        <w:t>应</w:t>
      </w:r>
      <w:r>
        <w:rPr>
          <w:rFonts w:hint="eastAsia" w:ascii="仿宋" w:hAnsi="仿宋" w:eastAsia="仿宋" w:cs="仿宋"/>
          <w:color w:val="auto"/>
          <w:sz w:val="28"/>
          <w:szCs w:val="28"/>
        </w:rPr>
        <w:t>合理努力为乙方筛选、提供创业相关信息（包括但不限于本合同第一条约定的政策信息、资源对接信息、商业决策参考信息等），若仍未找到与乙方需求匹配的适合信息，或甲方人员已按约定向乙方提供创业相关信息但乙方未采纳、未使用的，甲方均不承担任何责任（包括但不限于赔偿乙方预期收益损失、退还已支付费用、承担乙方经营损失等），乙方不得以此为由拒绝履行本合同项下其他义务。</w:t>
      </w:r>
    </w:p>
    <w:p w14:paraId="325CE2B6">
      <w:pPr>
        <w:pStyle w:val="4"/>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（二）乙方权利义务</w:t>
      </w:r>
    </w:p>
    <w:p w14:paraId="2F768DD5">
      <w:pPr>
        <w:pStyle w:val="17"/>
        <w:keepNext w:val="0"/>
        <w:keepLines w:val="0"/>
        <w:pageBreakBefore w:val="0"/>
        <w:widowControl/>
        <w:numPr>
          <w:ilvl w:val="0"/>
          <w:numId w:val="7"/>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有权要求甲方按约定提供信息服务，对信息质量提出合理建议。</w:t>
      </w:r>
    </w:p>
    <w:p w14:paraId="3536CF17">
      <w:pPr>
        <w:pStyle w:val="17"/>
        <w:keepNext w:val="0"/>
        <w:keepLines w:val="0"/>
        <w:pageBreakBefore w:val="0"/>
        <w:widowControl/>
        <w:numPr>
          <w:ilvl w:val="0"/>
          <w:numId w:val="7"/>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必须如实、及时向甲方披露收益情况及相关凭证，不得隐瞒、伪造或篡改。</w:t>
      </w:r>
    </w:p>
    <w:p w14:paraId="7A17C2AC">
      <w:pPr>
        <w:pStyle w:val="17"/>
        <w:keepNext w:val="0"/>
        <w:keepLines w:val="0"/>
        <w:pageBreakBefore w:val="0"/>
        <w:widowControl/>
        <w:numPr>
          <w:ilvl w:val="0"/>
          <w:numId w:val="7"/>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未经甲方书面同意，不得单方接触甲方推荐的资源方，不得截取甲方提供的信息用于规避分成支付。</w:t>
      </w:r>
    </w:p>
    <w:p w14:paraId="1E2D6EF5">
      <w:pPr>
        <w:pStyle w:val="17"/>
        <w:keepNext w:val="0"/>
        <w:keepLines w:val="0"/>
        <w:pageBreakBefore w:val="0"/>
        <w:widowControl/>
        <w:numPr>
          <w:ilvl w:val="0"/>
          <w:numId w:val="7"/>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对甲方提供的服务方案、信息来源及导师的个人信息（如联系方式、专业背景）等商业秘密承担保密义务，不得向第三方泄露。</w:t>
      </w:r>
    </w:p>
    <w:p w14:paraId="2B5674BB">
      <w:pPr>
        <w:pStyle w:val="17"/>
        <w:keepNext w:val="0"/>
        <w:keepLines w:val="0"/>
        <w:pageBreakBefore w:val="0"/>
        <w:widowControl/>
        <w:numPr>
          <w:ilvl w:val="0"/>
          <w:numId w:val="7"/>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不得要求甲方委派的创业导师提供超出本合同第一条约定范围的服务，不得与导师私下约定额外服务报酬或绕过</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进行服务对接；若乙方违反本款约定，视为乙方违约，甲方有权更换导师或暂停服务，且乙方需赔偿甲方因此产生的损失（如导师额外服务的成本）。</w:t>
      </w:r>
    </w:p>
    <w:p w14:paraId="01A1AD3E">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第五条 违约责任</w:t>
      </w:r>
    </w:p>
    <w:p w14:paraId="5589F488">
      <w:pPr>
        <w:pStyle w:val="17"/>
        <w:keepNext w:val="0"/>
        <w:keepLines w:val="0"/>
        <w:pageBreakBefore w:val="0"/>
        <w:widowControl/>
        <w:numPr>
          <w:ilvl w:val="0"/>
          <w:numId w:val="8"/>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乙方逾期支付分成的，每逾期 1 日，按应付未付金额的 0.05% 向甲方支付滞纳金；逾期超过 15 日的，甲方有权终止合同，并要求乙方支付全部未结分成及滞纳金，同时乙方需承担甲方为维权支出的律师费、诉讼费等合理费用。</w:t>
      </w:r>
    </w:p>
    <w:p w14:paraId="23B8BCC3">
      <w:pPr>
        <w:pStyle w:val="17"/>
        <w:keepNext w:val="0"/>
        <w:keepLines w:val="0"/>
        <w:pageBreakBefore w:val="0"/>
        <w:widowControl/>
        <w:numPr>
          <w:ilvl w:val="0"/>
          <w:numId w:val="8"/>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乙方隐瞒、伪造收益凭证或通过其他方式规避支付义务的，需向甲方支付应付分成的 2 倍作为违约金，甲方有权解除合同并追回全部未结款项。</w:t>
      </w:r>
    </w:p>
    <w:p w14:paraId="7924BA4A">
      <w:pPr>
        <w:pStyle w:val="17"/>
        <w:keepNext w:val="0"/>
        <w:keepLines w:val="0"/>
        <w:pageBreakBefore w:val="0"/>
        <w:widowControl/>
        <w:numPr>
          <w:ilvl w:val="0"/>
          <w:numId w:val="8"/>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乙方违反保密义务或单方接触甲方推荐资源方的，需赔偿甲方因此遭受的全部损失（包括预期收益损失）。</w:t>
      </w:r>
    </w:p>
    <w:p w14:paraId="311F6C04">
      <w:pPr>
        <w:pStyle w:val="17"/>
        <w:keepNext w:val="0"/>
        <w:keepLines w:val="0"/>
        <w:pageBreakBefore w:val="0"/>
        <w:widowControl/>
        <w:numPr>
          <w:ilvl w:val="0"/>
          <w:numId w:val="8"/>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甲方违反保密义务给乙方造成损失的，按实际损失承担赔偿责任（不包括乙方预期经营损失）。</w:t>
      </w:r>
    </w:p>
    <w:p w14:paraId="38601F11">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第六条 争议解决</w:t>
      </w:r>
    </w:p>
    <w:p w14:paraId="27738EE0">
      <w:pPr>
        <w:pStyle w:val="17"/>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开庭方式选择约定：因本合同产生的争议，双方一致同意按以下方式确定开庭地点及形式：​</w:t>
      </w:r>
    </w:p>
    <w:p w14:paraId="60AE3323">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任意归属地开庭：双方可就争议管辖法院达成补充约定，选择甲方住所地、乙方住所地、合同签订地、合同履行地等任意符合《中华人民共和国民事诉讼法》管辖规定的地点对应的人民法院作为管辖法院，由该法院以线下方式开庭审理；若双方未就管辖法院达成补充约定，任何一方有权向甲方住所地有管辖权的人民法院提起线下诉讼。​</w:t>
      </w:r>
    </w:p>
    <w:p w14:paraId="12D76FE7">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互联网法院开庭：若争议符合《中华人民共和国民事诉讼法》及相关司法解释规定的互联网法院管辖范围（包括但不限于争议标的与信息网络服务相关、涉电子合同争议等情形），双方均有权选择向具有管辖权的互联网法院提起诉讼，或在已确定线下管辖法院后，共同向该法院申请转为互联网法院线上开庭审理。​</w:t>
      </w:r>
    </w:p>
    <w:p w14:paraId="6AC070FD">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送达与效力：双方确认本合同载明的联系电话、电子邮箱、即时通讯账号（如微信、企业微信）既为线下诉讼的法律文书送达地址，也为互联网法院电子诉讼文书送达地址，两种送达地址效力同等；互联网法院线上开庭的电子诉讼文书送达、线上诉讼活动效力、电子证据认定标准，均适用本合同第六条关于互联网法院诉讼的相关约定（若有），与线下诉讼文书送达、庭审活动及证据认定具有同等法律效力。​</w:t>
      </w:r>
    </w:p>
    <w:p w14:paraId="64E86C72">
      <w:pPr>
        <w:pStyle w:val="17"/>
        <w:keepNext w:val="0"/>
        <w:keepLines w:val="0"/>
        <w:pageBreakBefore w:val="0"/>
        <w:widowControl/>
        <w:numPr>
          <w:ilvl w:val="0"/>
          <w:numId w:val="0"/>
        </w:numPr>
        <w:kinsoku/>
        <w:wordWrap/>
        <w:overflowPunct/>
        <w:topLinePunct w:val="0"/>
        <w:autoSpaceDE/>
        <w:autoSpaceDN/>
        <w:bidi w:val="0"/>
        <w:adjustRightInd/>
        <w:snapToGrid/>
        <w:ind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（4）争议协调：若一方选择互联网法院开庭，另一方无正当理由拒绝或提出异议，或双方就开庭方式无法达成一致的，由先提起诉讼一方选择的开庭方式为准（选择线下开庭的，按本条第 1 款确定管辖法院；选择互联网法院开庭的，需符合互联网法院管辖范围），拒绝配合方需承担对方因此额外支出的费用（包括但不限于差旅费、律师费、线上诉讼平台服务费等）。争议解决期间，除争议事项外，本合同其他条款继续履行。</w:t>
      </w:r>
    </w:p>
    <w:p w14:paraId="4B547D29">
      <w:pPr>
        <w:pStyle w:val="17"/>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涉及价值认定的争议，双方可共同委托具有资质的会计师事务所进行评估，评估费用由过错方承担；若双方均无过错，评估费用由乙方承担。</w:t>
      </w:r>
    </w:p>
    <w:p w14:paraId="422D716E">
      <w:pPr>
        <w:pStyle w:val="17"/>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因信息来源归属产生争议的，乙方需在甲方提出分成主张后 5 个工作日内提交本条款第二条第 2 款所列证据，逾期未提交或证据不充分的，直接认定为甲方创造的价值。</w:t>
      </w:r>
    </w:p>
    <w:p w14:paraId="45D7BF67">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第七条 合同期限与终止</w:t>
      </w:r>
    </w:p>
    <w:p w14:paraId="1A30CB53">
      <w:pPr>
        <w:pStyle w:val="17"/>
        <w:keepNext w:val="0"/>
        <w:keepLines w:val="0"/>
        <w:pageBreakBefore w:val="0"/>
        <w:widowControl/>
        <w:numPr>
          <w:ilvl w:val="0"/>
          <w:numId w:val="10"/>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本合同自双方签字（盖章）之日起生效，期限为______年，期满前 30 日双方可协商续约。</w:t>
      </w:r>
    </w:p>
    <w:p w14:paraId="01F7DC73">
      <w:pPr>
        <w:pStyle w:val="17"/>
        <w:keepNext w:val="0"/>
        <w:keepLines w:val="0"/>
        <w:pageBreakBefore w:val="0"/>
        <w:widowControl/>
        <w:numPr>
          <w:ilvl w:val="0"/>
          <w:numId w:val="10"/>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乙方严重违约（如隐瞒收益、逾期支付超 30 日）的，甲方可书面通知乙方解除合同，合同自通知送达之日起终止。</w:t>
      </w:r>
    </w:p>
    <w:p w14:paraId="68E846B6">
      <w:pPr>
        <w:pStyle w:val="17"/>
        <w:keepNext w:val="0"/>
        <w:keepLines w:val="0"/>
        <w:pageBreakBefore w:val="0"/>
        <w:widowControl/>
        <w:numPr>
          <w:ilvl w:val="0"/>
          <w:numId w:val="10"/>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合同终止后，乙方仍需对已产生的甲方创造价值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含导师提供信息产生的价值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履行支付义务。</w:t>
      </w:r>
    </w:p>
    <w:p w14:paraId="258E76AD">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八、送达条款</w:t>
      </w:r>
    </w:p>
    <w:p w14:paraId="1122C271">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1.本合同项下任何一方向对方发出的通知、信件、数据电文等，应当以书面形式发送至本合同下列约定的送达地址。</w:t>
      </w:r>
    </w:p>
    <w:p w14:paraId="5AC5A975">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2.一方当事人变更送达地址信息/电子送达信息的，应当在变更后 3 日内及时书面通知对方当事人，对方当事人实际收到变更通知前的送达仍为有效送达，电子送达与其他送达方式具有同等法律效力。</w:t>
      </w:r>
    </w:p>
    <w:p w14:paraId="16D0E9AF">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甲方确认送达地址如下：</w:t>
      </w:r>
    </w:p>
    <w:p w14:paraId="5B28913D">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地址：</w:t>
      </w:r>
    </w:p>
    <w:p w14:paraId="76D8A072">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联系人</w:t>
      </w:r>
      <w:r>
        <w:rPr>
          <w:rFonts w:hint="eastAsia" w:ascii="仿宋" w:hAnsi="仿宋" w:eastAsia="仿宋" w:cs="仿宋"/>
          <w:b w:val="0"/>
          <w:bCs w:val="0"/>
          <w:color w:val="auto"/>
          <w:sz w:val="28"/>
          <w:szCs w:val="28"/>
        </w:rPr>
        <w:t>:</w:t>
      </w:r>
    </w:p>
    <w:p w14:paraId="41D4867F">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联系电话：</w:t>
      </w:r>
    </w:p>
    <w:p w14:paraId="0409FAD6">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乙方确认送达地址如下：</w:t>
      </w:r>
    </w:p>
    <w:p w14:paraId="446E6EFA">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地址：</w:t>
      </w:r>
    </w:p>
    <w:p w14:paraId="2E496566">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联系人</w:t>
      </w:r>
      <w:r>
        <w:rPr>
          <w:rFonts w:hint="eastAsia" w:ascii="仿宋" w:hAnsi="仿宋" w:eastAsia="仿宋" w:cs="仿宋"/>
          <w:b w:val="0"/>
          <w:bCs w:val="0"/>
          <w:color w:val="auto"/>
          <w:sz w:val="28"/>
          <w:szCs w:val="28"/>
        </w:rPr>
        <w:t>:</w:t>
      </w:r>
    </w:p>
    <w:p w14:paraId="14F0D6EF">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联系电话：</w:t>
      </w:r>
    </w:p>
    <w:p w14:paraId="2CE5A2C2">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甲方同意接受电子送达方式如下：</w:t>
      </w:r>
    </w:p>
    <w:p w14:paraId="46C7642F">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手机短信：</w:t>
      </w:r>
    </w:p>
    <w:p w14:paraId="0723FB06">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乙方同意接受电子送达方式如下：</w:t>
      </w:r>
    </w:p>
    <w:p w14:paraId="25F75852">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rPr>
        <w:t>手机短信：</w:t>
      </w:r>
    </w:p>
    <w:p w14:paraId="2ADE03CE">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甲乙双方确认，上述送达方式真实有效。任何一方向对方发出的有关本合同的通知，均应以上述约定送达方式为准，否则无效。</w:t>
      </w:r>
    </w:p>
    <w:p w14:paraId="10503CF3">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3.以上通知及送达的认定</w:t>
      </w:r>
    </w:p>
    <w:p w14:paraId="237C7BB5">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（1）若当面递送：以收件方签收时间为送达时间；</w:t>
      </w:r>
    </w:p>
    <w:p w14:paraId="01369A89">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（2）若以EMS特快专递形式递送：无论收件方是否有签收，自该邮件拒收或退回之日起视为送达之日；</w:t>
      </w:r>
    </w:p>
    <w:p w14:paraId="1AD5D986">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（3）若以电子邮件、短信方式递送：以留存在发送方电脑当中的发送成功记录时间为送达时间；</w:t>
      </w:r>
    </w:p>
    <w:p w14:paraId="1968636A">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（4）如采取多种方式送达的，送达时间以最早的送达时间为准。</w:t>
      </w:r>
    </w:p>
    <w:p w14:paraId="35342615">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4. 甲乙双方确认前述送达方式亦为双方解决争议时接收仲裁机构的法律文书之送达地址。</w:t>
      </w:r>
    </w:p>
    <w:p w14:paraId="1A180012">
      <w:pPr>
        <w:pStyle w:val="3"/>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rPr>
        <w:t>5. 本条款具有独立法律效力，不因合同其他条款的无效而无效。</w:t>
      </w:r>
    </w:p>
    <w:p w14:paraId="5AA20E5B">
      <w:pPr>
        <w:pStyle w:val="3"/>
        <w:keepNext w:val="0"/>
        <w:keepLines w:val="0"/>
        <w:pageBreakBefore w:val="0"/>
        <w:widowControl/>
        <w:kinsoku/>
        <w:wordWrap/>
        <w:overflowPunct/>
        <w:topLinePunct w:val="0"/>
        <w:autoSpaceDE/>
        <w:autoSpaceDN/>
        <w:bidi w:val="0"/>
        <w:adjustRightInd/>
        <w:snapToGrid/>
        <w:ind w:firstLine="562"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w:t>
      </w:r>
      <w:r>
        <w:rPr>
          <w:rFonts w:hint="eastAsia" w:ascii="仿宋" w:hAnsi="仿宋" w:eastAsia="仿宋" w:cs="仿宋"/>
          <w:color w:val="auto"/>
          <w:sz w:val="28"/>
          <w:szCs w:val="28"/>
          <w:lang w:val="en-US" w:eastAsia="zh-CN"/>
        </w:rPr>
        <w:t>九</w:t>
      </w:r>
      <w:r>
        <w:rPr>
          <w:rFonts w:hint="eastAsia" w:ascii="仿宋" w:hAnsi="仿宋" w:eastAsia="仿宋" w:cs="仿宋"/>
          <w:color w:val="auto"/>
          <w:sz w:val="28"/>
          <w:szCs w:val="28"/>
        </w:rPr>
        <w:t>条 其他</w:t>
      </w:r>
    </w:p>
    <w:p w14:paraId="7775E99E">
      <w:pPr>
        <w:pStyle w:val="17"/>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本合同一式两份，甲乙双方各执一份，具有同等法律效力。</w:t>
      </w:r>
    </w:p>
    <w:p w14:paraId="074E805C">
      <w:pPr>
        <w:pStyle w:val="17"/>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本合同未尽事宜，双方可另行签订补充协议，补充协议与本合同具有同等法律效力。</w:t>
      </w:r>
    </w:p>
    <w:p w14:paraId="63804C84">
      <w:pPr>
        <w:pStyle w:val="17"/>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乙方确认其提供的联系地址为法律文书送达地址，地址变更需提前 10 日书面通知甲方，否则因此产生的送达不能后果由乙方自行承担。</w:t>
      </w:r>
    </w:p>
    <w:p w14:paraId="6133B027">
      <w:pPr>
        <w:pStyle w:val="17"/>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color w:val="auto"/>
          <w:sz w:val="28"/>
          <w:szCs w:val="28"/>
        </w:rPr>
      </w:pPr>
    </w:p>
    <w:p w14:paraId="57752F30">
      <w:pPr>
        <w:pStyle w:val="17"/>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color w:val="auto"/>
          <w:sz w:val="28"/>
          <w:szCs w:val="28"/>
        </w:rPr>
      </w:pPr>
    </w:p>
    <w:p w14:paraId="4470B9E7">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甲</w:t>
      </w:r>
      <w:r>
        <w:rPr>
          <w:rFonts w:hint="eastAsia" w:ascii="仿宋" w:hAnsi="仿宋" w:eastAsia="仿宋" w:cs="仿宋"/>
          <w:color w:val="auto"/>
          <w:sz w:val="28"/>
          <w:szCs w:val="28"/>
        </w:rPr>
        <w:t>方（盖章）：________________</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乙方（盖章）________________</w:t>
      </w:r>
    </w:p>
    <w:p w14:paraId="5173C4FD">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rPr>
      </w:pPr>
    </w:p>
    <w:p w14:paraId="7655724C">
      <w:pPr>
        <w:pStyle w:val="17"/>
        <w:keepNext w:val="0"/>
        <w:keepLines w:val="0"/>
        <w:pageBreakBefore w:val="0"/>
        <w:widowControl/>
        <w:kinsoku/>
        <w:wordWrap/>
        <w:overflowPunct/>
        <w:topLinePunct w:val="0"/>
        <w:autoSpaceDE/>
        <w:autoSpaceDN/>
        <w:bidi w:val="0"/>
        <w:adjustRightInd/>
        <w:snapToGrid/>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日期：______年_____月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日期：______年_____月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C9F47"/>
    <w:multiLevelType w:val="singleLevel"/>
    <w:tmpl w:val="8FDC9F47"/>
    <w:lvl w:ilvl="0" w:tentative="0">
      <w:start w:val="1"/>
      <w:numFmt w:val="decimal"/>
      <w:suff w:val="nothing"/>
      <w:lvlText w:val="%1．"/>
      <w:lvlJc w:val="left"/>
      <w:pPr>
        <w:ind w:left="0" w:firstLine="400"/>
      </w:pPr>
      <w:rPr>
        <w:rFonts w:hint="default"/>
      </w:rPr>
    </w:lvl>
  </w:abstractNum>
  <w:abstractNum w:abstractNumId="1">
    <w:nsid w:val="ACB912DB"/>
    <w:multiLevelType w:val="singleLevel"/>
    <w:tmpl w:val="ACB912DB"/>
    <w:lvl w:ilvl="0" w:tentative="0">
      <w:start w:val="1"/>
      <w:numFmt w:val="decimal"/>
      <w:suff w:val="nothing"/>
      <w:lvlText w:val="%1．"/>
      <w:lvlJc w:val="left"/>
      <w:pPr>
        <w:ind w:left="0" w:firstLine="400"/>
      </w:pPr>
      <w:rPr>
        <w:rFonts w:hint="default"/>
      </w:rPr>
    </w:lvl>
  </w:abstractNum>
  <w:abstractNum w:abstractNumId="2">
    <w:nsid w:val="C29E50AF"/>
    <w:multiLevelType w:val="singleLevel"/>
    <w:tmpl w:val="C29E50AF"/>
    <w:lvl w:ilvl="0" w:tentative="0">
      <w:start w:val="1"/>
      <w:numFmt w:val="decimal"/>
      <w:suff w:val="nothing"/>
      <w:lvlText w:val="%1．"/>
      <w:lvlJc w:val="left"/>
      <w:pPr>
        <w:ind w:left="0" w:firstLine="400"/>
      </w:pPr>
      <w:rPr>
        <w:rFonts w:hint="default"/>
      </w:rPr>
    </w:lvl>
  </w:abstractNum>
  <w:abstractNum w:abstractNumId="3">
    <w:nsid w:val="DF1756EA"/>
    <w:multiLevelType w:val="singleLevel"/>
    <w:tmpl w:val="DF1756EA"/>
    <w:lvl w:ilvl="0" w:tentative="0">
      <w:start w:val="1"/>
      <w:numFmt w:val="decimal"/>
      <w:suff w:val="nothing"/>
      <w:lvlText w:val="%1．"/>
      <w:lvlJc w:val="left"/>
      <w:pPr>
        <w:ind w:left="0" w:firstLine="400"/>
      </w:pPr>
      <w:rPr>
        <w:rFonts w:hint="default"/>
      </w:rPr>
    </w:lvl>
  </w:abstractNum>
  <w:abstractNum w:abstractNumId="4">
    <w:nsid w:val="E114647E"/>
    <w:multiLevelType w:val="singleLevel"/>
    <w:tmpl w:val="E114647E"/>
    <w:lvl w:ilvl="0" w:tentative="0">
      <w:start w:val="1"/>
      <w:numFmt w:val="decimal"/>
      <w:suff w:val="nothing"/>
      <w:lvlText w:val="%1．"/>
      <w:lvlJc w:val="left"/>
      <w:pPr>
        <w:ind w:left="0" w:firstLine="400"/>
      </w:pPr>
      <w:rPr>
        <w:rFonts w:hint="default"/>
      </w:rPr>
    </w:lvl>
  </w:abstractNum>
  <w:abstractNum w:abstractNumId="5">
    <w:nsid w:val="EAF8B7AE"/>
    <w:multiLevelType w:val="singleLevel"/>
    <w:tmpl w:val="EAF8B7AE"/>
    <w:lvl w:ilvl="0" w:tentative="0">
      <w:start w:val="1"/>
      <w:numFmt w:val="decimal"/>
      <w:suff w:val="nothing"/>
      <w:lvlText w:val="%1．"/>
      <w:lvlJc w:val="left"/>
      <w:pPr>
        <w:ind w:left="0" w:firstLine="400"/>
      </w:pPr>
      <w:rPr>
        <w:rFonts w:hint="default"/>
      </w:rPr>
    </w:lvl>
  </w:abstractNum>
  <w:abstractNum w:abstractNumId="6">
    <w:nsid w:val="FA094EEF"/>
    <w:multiLevelType w:val="singleLevel"/>
    <w:tmpl w:val="FA094EEF"/>
    <w:lvl w:ilvl="0" w:tentative="0">
      <w:start w:val="1"/>
      <w:numFmt w:val="decimal"/>
      <w:suff w:val="nothing"/>
      <w:lvlText w:val="%1．"/>
      <w:lvlJc w:val="left"/>
      <w:pPr>
        <w:ind w:left="0" w:firstLine="400"/>
      </w:pPr>
      <w:rPr>
        <w:rFonts w:hint="default"/>
      </w:rPr>
    </w:lvl>
  </w:abstractNum>
  <w:abstractNum w:abstractNumId="7">
    <w:nsid w:val="2B5E56D5"/>
    <w:multiLevelType w:val="singleLevel"/>
    <w:tmpl w:val="2B5E56D5"/>
    <w:lvl w:ilvl="0" w:tentative="0">
      <w:start w:val="1"/>
      <w:numFmt w:val="decimal"/>
      <w:suff w:val="nothing"/>
      <w:lvlText w:val="%1．"/>
      <w:lvlJc w:val="left"/>
      <w:pPr>
        <w:ind w:left="0" w:firstLine="400"/>
      </w:pPr>
      <w:rPr>
        <w:rFonts w:hint="default"/>
      </w:rPr>
    </w:lvl>
  </w:abstractNum>
  <w:abstractNum w:abstractNumId="8">
    <w:nsid w:val="2E5381AC"/>
    <w:multiLevelType w:val="singleLevel"/>
    <w:tmpl w:val="2E5381AC"/>
    <w:lvl w:ilvl="0" w:tentative="0">
      <w:start w:val="1"/>
      <w:numFmt w:val="decimal"/>
      <w:suff w:val="nothing"/>
      <w:lvlText w:val="%1．"/>
      <w:lvlJc w:val="left"/>
      <w:pPr>
        <w:ind w:left="0" w:firstLine="400"/>
      </w:pPr>
      <w:rPr>
        <w:rFonts w:hint="default"/>
      </w:rPr>
    </w:lvl>
  </w:abstractNum>
  <w:abstractNum w:abstractNumId="9">
    <w:nsid w:val="565129B2"/>
    <w:multiLevelType w:val="singleLevel"/>
    <w:tmpl w:val="565129B2"/>
    <w:lvl w:ilvl="0" w:tentative="0">
      <w:start w:val="1"/>
      <w:numFmt w:val="decimal"/>
      <w:suff w:val="nothing"/>
      <w:lvlText w:val="（%1）"/>
      <w:lvlJc w:val="left"/>
    </w:lvl>
  </w:abstractNum>
  <w:abstractNum w:abstractNumId="10">
    <w:nsid w:val="5C72C5CB"/>
    <w:multiLevelType w:val="singleLevel"/>
    <w:tmpl w:val="5C72C5CB"/>
    <w:lvl w:ilvl="0" w:tentative="0">
      <w:start w:val="1"/>
      <w:numFmt w:val="decimal"/>
      <w:suff w:val="nothing"/>
      <w:lvlText w:val="%1．"/>
      <w:lvlJc w:val="left"/>
    </w:lvl>
  </w:abstractNum>
  <w:num w:numId="1">
    <w:abstractNumId w:val="1"/>
  </w:num>
  <w:num w:numId="2">
    <w:abstractNumId w:val="10"/>
  </w:num>
  <w:num w:numId="3">
    <w:abstractNumId w:val="4"/>
  </w:num>
  <w:num w:numId="4">
    <w:abstractNumId w:val="9"/>
  </w:num>
  <w:num w:numId="5">
    <w:abstractNumId w:val="7"/>
  </w:num>
  <w:num w:numId="6">
    <w:abstractNumId w:val="6"/>
  </w:num>
  <w:num w:numId="7">
    <w:abstractNumId w:val="3"/>
  </w:num>
  <w:num w:numId="8">
    <w:abstractNumId w:val="2"/>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0E84814"/>
    <w:rsid w:val="05330914"/>
    <w:rsid w:val="063876A4"/>
    <w:rsid w:val="0737469F"/>
    <w:rsid w:val="0B114967"/>
    <w:rsid w:val="0B6B6529"/>
    <w:rsid w:val="0F5F5CA1"/>
    <w:rsid w:val="10BE7B84"/>
    <w:rsid w:val="10D72540"/>
    <w:rsid w:val="12EC6EE1"/>
    <w:rsid w:val="13BF31B2"/>
    <w:rsid w:val="16FF3BC4"/>
    <w:rsid w:val="171001C9"/>
    <w:rsid w:val="17991F6C"/>
    <w:rsid w:val="1B9B4FF0"/>
    <w:rsid w:val="1E3D4361"/>
    <w:rsid w:val="1F111E90"/>
    <w:rsid w:val="215A276C"/>
    <w:rsid w:val="234174BA"/>
    <w:rsid w:val="26543C2E"/>
    <w:rsid w:val="288760F2"/>
    <w:rsid w:val="2A6E1037"/>
    <w:rsid w:val="2A9C0E1D"/>
    <w:rsid w:val="2C520C10"/>
    <w:rsid w:val="30C21FCD"/>
    <w:rsid w:val="32D22500"/>
    <w:rsid w:val="354237EC"/>
    <w:rsid w:val="37D27B89"/>
    <w:rsid w:val="3A2D6818"/>
    <w:rsid w:val="3A327E40"/>
    <w:rsid w:val="3C2E3547"/>
    <w:rsid w:val="3C616601"/>
    <w:rsid w:val="3D2A703F"/>
    <w:rsid w:val="3E5E3417"/>
    <w:rsid w:val="4188110D"/>
    <w:rsid w:val="43531E79"/>
    <w:rsid w:val="461F4E36"/>
    <w:rsid w:val="4AEC002A"/>
    <w:rsid w:val="4CE03BBE"/>
    <w:rsid w:val="4DBC1F35"/>
    <w:rsid w:val="53285A20"/>
    <w:rsid w:val="55EA33B8"/>
    <w:rsid w:val="560D1D7E"/>
    <w:rsid w:val="56D254BB"/>
    <w:rsid w:val="56E61DD1"/>
    <w:rsid w:val="59A3044D"/>
    <w:rsid w:val="5B7C4AB2"/>
    <w:rsid w:val="5BF72170"/>
    <w:rsid w:val="62A82630"/>
    <w:rsid w:val="62EF16DE"/>
    <w:rsid w:val="62FB0257"/>
    <w:rsid w:val="631657EC"/>
    <w:rsid w:val="65D774B5"/>
    <w:rsid w:val="666303EE"/>
    <w:rsid w:val="6855023B"/>
    <w:rsid w:val="6D380557"/>
    <w:rsid w:val="70283432"/>
    <w:rsid w:val="716963F3"/>
    <w:rsid w:val="71967069"/>
    <w:rsid w:val="73C3551C"/>
    <w:rsid w:val="7682346D"/>
    <w:rsid w:val="786E3EF7"/>
    <w:rsid w:val="7B7F2E2C"/>
    <w:rsid w:val="7BAB6FC2"/>
    <w:rsid w:val="7C773B89"/>
    <w:rsid w:val="7DD06B77"/>
    <w:rsid w:val="7E1864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6"/>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Strong"/>
    <w:basedOn w:val="11"/>
    <w:qFormat/>
    <w:uiPriority w:val="0"/>
    <w:rPr>
      <w:b/>
    </w:rPr>
  </w:style>
  <w:style w:type="character" w:styleId="13">
    <w:name w:val="Hyperlink"/>
    <w:unhideWhenUsed/>
    <w:qFormat/>
    <w:uiPriority w:val="99"/>
    <w:rPr>
      <w:color w:val="0563C1"/>
      <w:u w:val="single"/>
    </w:rPr>
  </w:style>
  <w:style w:type="character" w:styleId="14">
    <w:name w:val="footnote reference"/>
    <w:semiHidden/>
    <w:unhideWhenUsed/>
    <w:qFormat/>
    <w:uiPriority w:val="99"/>
    <w:rPr>
      <w:vertAlign w:val="superscript"/>
    </w:rPr>
  </w:style>
  <w:style w:type="paragraph" w:styleId="15">
    <w:name w:val="List Paragraph"/>
    <w:qFormat/>
    <w:uiPriority w:val="0"/>
    <w:rPr>
      <w:rFonts w:asciiTheme="minorHAnsi" w:hAnsiTheme="minorHAnsi" w:eastAsiaTheme="minorEastAsia" w:cstheme="minorBidi"/>
      <w:sz w:val="21"/>
      <w:szCs w:val="22"/>
    </w:rPr>
  </w:style>
  <w:style w:type="character" w:customStyle="1" w:styleId="16">
    <w:name w:val="Footnote Text Char"/>
    <w:link w:val="8"/>
    <w:semiHidden/>
    <w:unhideWhenUsed/>
    <w:qFormat/>
    <w:uiPriority w:val="99"/>
    <w:rPr>
      <w:sz w:val="20"/>
      <w:szCs w:val="20"/>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 w:type="paragraph" w:customStyle="1" w:styleId="18">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5484</Words>
  <Characters>5813</Characters>
  <TotalTime>7</TotalTime>
  <ScaleCrop>false</ScaleCrop>
  <LinksUpToDate>false</LinksUpToDate>
  <CharactersWithSpaces>5905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2025-09-18T15:59:00Z</dcterms:created>
  <dc:creator>Un-named</dc:creator>
  <cp:lastModifiedBy>winin</cp:lastModifiedBy>
  <dcterms:modified xsi:type="dcterms:W3CDTF">2026-08-12T03:57:29Z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eyJoZGlkIjoiMmE3Yjc0NDVjNGU3NzJmZGFiNzliZDI5NWYyMTYxMTkiLCJ1c2VySWQiOiI1NjU3NzE0NDgifQ==</vt:lpwstr>
  </property>
  <property fmtid="{D5CDD505-2E9C-101B-9397-08002B2CF9AE}" pid="3" name="KSOProductBuildVer">
    <vt:lpwstr>2052-12.1.0.26895</vt:lpwstr>
  </property>
  <property fmtid="{D5CDD505-2E9C-101B-9397-08002B2CF9AE}" pid="4" name="ICV">
    <vt:lpwstr>577C296C89624FE5BD68758118AEC067_13</vt:lpwstr>
  </property>
</Properties>
</file>